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Приказ Минэкономразвития России от 26.03.2021 N 142 (ред. от 24.03.2022)</w:t>
      </w:r>
    </w:p>
    <w:p>
      <w:pPr>
        <w:pStyle w:val="0"/>
      </w:pPr>
      <w:hyperlink w:history="0" r:id="rId4" w:tooltip="Приказ Минэкономразвития России от 26.03.2021 N 142 (ред. от 24.03.2022) &quot;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, направленных на достижение целей, показателей и результатов региональных проектов, обеспечивающ {КонсультантПлюс}">
        <w:r>
          <w:rPr>
            <w:sz w:val="20"/>
            <w:color w:val="0000ff"/>
          </w:rPr>
          <w:t xml:space="preserve"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</w:r>
      </w:hyperlink>
    </w:p>
    <w:p>
      <w:pPr>
        <w:pStyle w:val="0"/>
      </w:pPr>
      <w:r>
        <w:rPr>
          <w:sz w:val="18"/>
        </w:rPr>
        <w:t xml:space="preserve">(Зарегистрировано в Минюсте России 20.05.2021 N 63543)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2C0AB0346707CEF7118C286CE1EFEA672193523BB8113D9E470E0E2499D102FA08C2048CA92F6F751DDBA1067EL2R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2022-08-19T09:17:06Z</dcterms:created>
</cp:coreProperties>
</file>